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22" w:rsidRDefault="00F96722" w:rsidP="00567BD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Aleksandro Stulginskio universiteto</w:t>
      </w:r>
    </w:p>
    <w:p w:rsidR="00F96722" w:rsidRDefault="00F96722" w:rsidP="00567BD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Vandens išteklių inžinerijos  </w:t>
      </w:r>
    </w:p>
    <w:p w:rsidR="00F96722" w:rsidRDefault="00F96722" w:rsidP="00567B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STUDIJŲ PROGRAMOS</w:t>
      </w:r>
    </w:p>
    <w:p w:rsidR="00CF75D3" w:rsidRDefault="00F96722" w:rsidP="00CF75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PAPILDOMO VERTINIMO IŠVADOS</w:t>
      </w:r>
    </w:p>
    <w:p w:rsidR="00CF75D3" w:rsidRPr="00CF75D3" w:rsidRDefault="00CF75D3" w:rsidP="00CF75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722" w:rsidRDefault="00F96722" w:rsidP="009847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Susipažinę su pateikta papildoma medžiaga turime pripažinti, kad programos rengėjai labai rimtai sureagavo į ekspertų pastabas ir atliko kai kuriuos radikalius programos pertvarkymus, keičiančius ankstesnius ekspertų vertinimus.</w:t>
      </w:r>
    </w:p>
    <w:p w:rsidR="00F96722" w:rsidRDefault="00F96722" w:rsidP="00FB3FD5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Atsisakius dalyko </w:t>
      </w:r>
      <w:r>
        <w:rPr>
          <w:rFonts w:ascii="Times New Roman" w:hAnsi="Times New Roman"/>
          <w:i/>
          <w:sz w:val="24"/>
          <w:szCs w:val="24"/>
        </w:rPr>
        <w:t>Okeanologijos ir ežerotyros pagrindai</w:t>
      </w:r>
      <w:r>
        <w:rPr>
          <w:rFonts w:ascii="Times New Roman" w:hAnsi="Times New Roman"/>
          <w:sz w:val="24"/>
          <w:szCs w:val="24"/>
        </w:rPr>
        <w:t xml:space="preserve">, o dalyką </w:t>
      </w:r>
      <w:r>
        <w:rPr>
          <w:rFonts w:ascii="Times New Roman" w:hAnsi="Times New Roman"/>
          <w:i/>
          <w:sz w:val="24"/>
          <w:szCs w:val="24"/>
        </w:rPr>
        <w:t>Jūrų pakrančių inžineriniai statiniai</w:t>
      </w:r>
      <w:r>
        <w:rPr>
          <w:rFonts w:ascii="Times New Roman" w:hAnsi="Times New Roman"/>
          <w:sz w:val="24"/>
          <w:szCs w:val="24"/>
        </w:rPr>
        <w:t xml:space="preserve"> pakeitus dalyku </w:t>
      </w:r>
      <w:r>
        <w:rPr>
          <w:rFonts w:ascii="Times New Roman" w:hAnsi="Times New Roman"/>
          <w:i/>
          <w:sz w:val="24"/>
          <w:szCs w:val="24"/>
        </w:rPr>
        <w:t xml:space="preserve">Upių ir jūrų HTS </w:t>
      </w:r>
      <w:r>
        <w:rPr>
          <w:rFonts w:ascii="Times New Roman" w:hAnsi="Times New Roman"/>
          <w:sz w:val="24"/>
          <w:szCs w:val="24"/>
        </w:rPr>
        <w:t>neliko „pretenzijų“ į okeanosferos studijas, t.y.</w:t>
      </w:r>
      <w:r w:rsidR="00546E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sukonkretintas studijų objektas – sausumos vandens ištekliai. Toks galėtų būti ir studijų programos pavadinimas, tačiau ekspertai sutinka, kad jis būtų šiek tiek griozdiškas ir sunkiau suprantamas. </w:t>
      </w:r>
      <w:r w:rsidR="00E3531E">
        <w:rPr>
          <w:rFonts w:ascii="Times New Roman" w:hAnsi="Times New Roman"/>
          <w:sz w:val="24"/>
          <w:szCs w:val="24"/>
        </w:rPr>
        <w:t>Atitinkamai pakeitus dalykus</w:t>
      </w:r>
      <w:r w:rsidR="00566398">
        <w:rPr>
          <w:rFonts w:ascii="Times New Roman" w:hAnsi="Times New Roman"/>
          <w:sz w:val="24"/>
          <w:szCs w:val="24"/>
        </w:rPr>
        <w:t xml:space="preserve">, neliko pastabos, kad dalyko dėstymui ASU dėstytojai neturi kompetencijos. </w:t>
      </w:r>
    </w:p>
    <w:p w:rsidR="00F96722" w:rsidRDefault="00F96722" w:rsidP="00FB3FD5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Teigiamai vertintini ir kiti programos sandaros pakeitimai – atsakymas dubliuojančių dalykų (</w:t>
      </w:r>
      <w:r>
        <w:rPr>
          <w:rFonts w:ascii="Times New Roman" w:hAnsi="Times New Roman"/>
          <w:i/>
          <w:sz w:val="24"/>
          <w:szCs w:val="24"/>
        </w:rPr>
        <w:t>Ekohidrologija</w:t>
      </w:r>
      <w:r>
        <w:rPr>
          <w:rFonts w:ascii="Times New Roman" w:hAnsi="Times New Roman"/>
          <w:i/>
          <w:sz w:val="24"/>
          <w:szCs w:val="24"/>
          <w:lang w:val="en-US"/>
        </w:rPr>
        <w:t>),</w:t>
      </w:r>
      <w:r>
        <w:rPr>
          <w:rFonts w:ascii="Times New Roman" w:hAnsi="Times New Roman"/>
          <w:sz w:val="24"/>
          <w:szCs w:val="24"/>
          <w:lang w:val="en-US"/>
        </w:rPr>
        <w:t xml:space="preserve"> apjungimas smulki</w:t>
      </w:r>
      <w:r>
        <w:rPr>
          <w:rFonts w:ascii="Times New Roman" w:hAnsi="Times New Roman"/>
          <w:sz w:val="24"/>
          <w:szCs w:val="24"/>
        </w:rPr>
        <w:t xml:space="preserve">ų dalykų (jau minėtų </w:t>
      </w:r>
      <w:r>
        <w:rPr>
          <w:rFonts w:ascii="Times New Roman" w:hAnsi="Times New Roman"/>
          <w:i/>
          <w:sz w:val="24"/>
          <w:szCs w:val="24"/>
        </w:rPr>
        <w:t xml:space="preserve">Upių HTS </w:t>
      </w:r>
      <w:r>
        <w:rPr>
          <w:rFonts w:ascii="Times New Roman" w:hAnsi="Times New Roman"/>
          <w:sz w:val="24"/>
          <w:szCs w:val="24"/>
        </w:rPr>
        <w:t xml:space="preserve">ir </w:t>
      </w:r>
      <w:r>
        <w:rPr>
          <w:rFonts w:ascii="Times New Roman" w:hAnsi="Times New Roman"/>
          <w:i/>
          <w:sz w:val="24"/>
          <w:szCs w:val="24"/>
        </w:rPr>
        <w:t>Jūrų pakrančių inžineriniai statiniai</w:t>
      </w:r>
      <w:r>
        <w:rPr>
          <w:rFonts w:ascii="Times New Roman" w:hAnsi="Times New Roman"/>
          <w:sz w:val="24"/>
          <w:szCs w:val="24"/>
        </w:rPr>
        <w:t xml:space="preserve">, o taip pat </w:t>
      </w:r>
      <w:r>
        <w:rPr>
          <w:rFonts w:ascii="Times New Roman" w:hAnsi="Times New Roman"/>
          <w:i/>
          <w:sz w:val="24"/>
          <w:szCs w:val="24"/>
        </w:rPr>
        <w:t>Vandens išteklių sisteminė analizė</w:t>
      </w:r>
      <w:r>
        <w:rPr>
          <w:rFonts w:ascii="Times New Roman" w:hAnsi="Times New Roman"/>
          <w:sz w:val="24"/>
          <w:szCs w:val="24"/>
        </w:rPr>
        <w:t xml:space="preserve"> ir </w:t>
      </w:r>
      <w:r>
        <w:rPr>
          <w:rFonts w:ascii="Times New Roman" w:hAnsi="Times New Roman"/>
          <w:i/>
          <w:sz w:val="24"/>
          <w:szCs w:val="24"/>
        </w:rPr>
        <w:t>Vandens išteklių GIS</w:t>
      </w:r>
      <w:r>
        <w:rPr>
          <w:rFonts w:ascii="Times New Roman" w:hAnsi="Times New Roman"/>
          <w:sz w:val="24"/>
          <w:szCs w:val="24"/>
        </w:rPr>
        <w:t xml:space="preserve">) leido sumažinti studijuojamų dalykų skaičių (vietoj buvusių </w:t>
      </w:r>
      <w:r>
        <w:rPr>
          <w:rFonts w:ascii="Times New Roman" w:hAnsi="Times New Roman"/>
          <w:sz w:val="24"/>
          <w:szCs w:val="24"/>
          <w:lang w:val="en-US"/>
        </w:rPr>
        <w:t>52 dalyk</w:t>
      </w:r>
      <w:r>
        <w:rPr>
          <w:rFonts w:ascii="Times New Roman" w:hAnsi="Times New Roman"/>
          <w:sz w:val="24"/>
          <w:szCs w:val="24"/>
        </w:rPr>
        <w:t xml:space="preserve">ų liko </w:t>
      </w:r>
      <w:r>
        <w:rPr>
          <w:rFonts w:ascii="Times New Roman" w:hAnsi="Times New Roman"/>
          <w:sz w:val="24"/>
          <w:szCs w:val="24"/>
          <w:lang w:val="en-US"/>
        </w:rPr>
        <w:t>48), k</w:t>
      </w:r>
      <w:r>
        <w:rPr>
          <w:rFonts w:ascii="Times New Roman" w:hAnsi="Times New Roman"/>
          <w:sz w:val="24"/>
          <w:szCs w:val="24"/>
        </w:rPr>
        <w:t>ą ir rekomendavo ekspertai savo ankstesnėse išvadose.</w:t>
      </w:r>
    </w:p>
    <w:p w:rsidR="00F96722" w:rsidRDefault="00F96722" w:rsidP="00FB3FD5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Sureaguota į ekspertų pastabą, kad kai kurių dalykų turiniai neatitinka jų pavadinimų: dalykas </w:t>
      </w:r>
      <w:r>
        <w:rPr>
          <w:rFonts w:ascii="Times New Roman" w:hAnsi="Times New Roman"/>
          <w:i/>
          <w:sz w:val="24"/>
          <w:szCs w:val="24"/>
        </w:rPr>
        <w:t xml:space="preserve">Ekohidraulika </w:t>
      </w:r>
      <w:r>
        <w:rPr>
          <w:rFonts w:ascii="Times New Roman" w:hAnsi="Times New Roman"/>
          <w:sz w:val="24"/>
          <w:szCs w:val="24"/>
        </w:rPr>
        <w:t xml:space="preserve">pavadintas </w:t>
      </w:r>
      <w:r>
        <w:rPr>
          <w:rFonts w:ascii="Times New Roman" w:hAnsi="Times New Roman"/>
          <w:i/>
          <w:sz w:val="24"/>
          <w:szCs w:val="24"/>
        </w:rPr>
        <w:t xml:space="preserve">Hidraulika,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i/>
          <w:sz w:val="24"/>
          <w:szCs w:val="24"/>
        </w:rPr>
        <w:t>Vandens telkinių renovacija – Vandens telkinių valymo technologijomis</w:t>
      </w:r>
      <w:r>
        <w:rPr>
          <w:rFonts w:ascii="Times New Roman" w:hAnsi="Times New Roman"/>
          <w:sz w:val="24"/>
          <w:szCs w:val="24"/>
        </w:rPr>
        <w:t>.</w:t>
      </w:r>
    </w:p>
    <w:p w:rsidR="00F96722" w:rsidRDefault="00F96722" w:rsidP="00FB3FD5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Pakoreguota </w:t>
      </w:r>
      <w:r>
        <w:rPr>
          <w:rFonts w:ascii="Times New Roman" w:hAnsi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lentelė ir dalykų </w:t>
      </w:r>
      <w:r>
        <w:rPr>
          <w:rFonts w:ascii="Times New Roman" w:hAnsi="Times New Roman"/>
          <w:i/>
          <w:sz w:val="24"/>
          <w:szCs w:val="24"/>
        </w:rPr>
        <w:t xml:space="preserve">Aplinkos ir žmogaus sauga, Klimatologija, Hidraulika, Hidrogeologija </w:t>
      </w:r>
      <w:r>
        <w:rPr>
          <w:rFonts w:ascii="Times New Roman" w:hAnsi="Times New Roman"/>
          <w:sz w:val="24"/>
          <w:szCs w:val="24"/>
          <w:lang w:val="en-US"/>
        </w:rPr>
        <w:t>apra</w:t>
      </w:r>
      <w:r>
        <w:rPr>
          <w:rFonts w:ascii="Times New Roman" w:hAnsi="Times New Roman"/>
          <w:sz w:val="24"/>
          <w:szCs w:val="24"/>
        </w:rPr>
        <w:t xml:space="preserve">šai – padaugėjo gebėjimus ugdančių </w:t>
      </w:r>
      <w:r w:rsidR="00546E2F">
        <w:rPr>
          <w:rFonts w:ascii="Times New Roman" w:hAnsi="Times New Roman"/>
          <w:sz w:val="24"/>
          <w:szCs w:val="24"/>
        </w:rPr>
        <w:t xml:space="preserve">studijų rezultatų </w:t>
      </w:r>
      <w:r>
        <w:rPr>
          <w:rFonts w:ascii="Times New Roman" w:hAnsi="Times New Roman"/>
          <w:sz w:val="24"/>
          <w:szCs w:val="24"/>
        </w:rPr>
        <w:t>skaičius.</w:t>
      </w:r>
    </w:p>
    <w:p w:rsidR="00566398" w:rsidRDefault="00566398" w:rsidP="00FB3FD5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Patikslinti dalyko kaupiamieji balai, kad per se</w:t>
      </w:r>
      <w:r w:rsidR="00546E2F">
        <w:rPr>
          <w:rFonts w:ascii="Times New Roman" w:hAnsi="Times New Roman"/>
          <w:sz w:val="24"/>
          <w:szCs w:val="24"/>
        </w:rPr>
        <w:t>mestrą negalima sukauti daugiau</w:t>
      </w:r>
      <w:r>
        <w:rPr>
          <w:rFonts w:ascii="Times New Roman" w:hAnsi="Times New Roman"/>
          <w:sz w:val="24"/>
          <w:szCs w:val="24"/>
        </w:rPr>
        <w:t xml:space="preserve"> kaip 40% dalyko atsiskaitymo pažymio. </w:t>
      </w:r>
    </w:p>
    <w:p w:rsidR="00566398" w:rsidRDefault="00566398" w:rsidP="00FB3FD5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Patikslinti, suvienodinti ir sutvarkyti studijų dalyko aprašai.</w:t>
      </w:r>
    </w:p>
    <w:p w:rsidR="00F96722" w:rsidRDefault="00F96722" w:rsidP="00857F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Teigiamai vertindami programos rengėjų atliktą darbą siūlome </w:t>
      </w:r>
      <w:r>
        <w:rPr>
          <w:rFonts w:ascii="Times New Roman" w:hAnsi="Times New Roman"/>
          <w:sz w:val="24"/>
          <w:szCs w:val="24"/>
          <w:lang w:val="en-US"/>
        </w:rPr>
        <w:t>1 ir 2</w:t>
      </w:r>
      <w:r>
        <w:rPr>
          <w:rFonts w:ascii="Times New Roman" w:hAnsi="Times New Roman"/>
          <w:sz w:val="24"/>
          <w:szCs w:val="24"/>
        </w:rPr>
        <w:t xml:space="preserve"> sritis („Programos tikslai ir numatomi studijų rezultatai“ ir „Programos sandara“) vertinti 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 balais.</w:t>
      </w:r>
    </w:p>
    <w:p w:rsidR="00A60A40" w:rsidRDefault="00CF75D3" w:rsidP="00A60A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Įgyvendinant studijų programą </w:t>
      </w:r>
      <w:r w:rsidRPr="00CF75D3">
        <w:rPr>
          <w:rFonts w:ascii="Times New Roman" w:hAnsi="Times New Roman"/>
          <w:i/>
          <w:sz w:val="24"/>
          <w:szCs w:val="24"/>
        </w:rPr>
        <w:t>rekomenduojame</w:t>
      </w:r>
      <w:r>
        <w:rPr>
          <w:rFonts w:ascii="Times New Roman" w:hAnsi="Times New Roman"/>
          <w:sz w:val="24"/>
          <w:szCs w:val="24"/>
        </w:rPr>
        <w:t xml:space="preserve"> į</w:t>
      </w:r>
      <w:r w:rsidRPr="00CF75D3">
        <w:rPr>
          <w:rFonts w:ascii="Times New Roman" w:hAnsi="Times New Roman"/>
          <w:sz w:val="24"/>
          <w:szCs w:val="24"/>
        </w:rPr>
        <w:t xml:space="preserve"> dėstymo procesą į</w:t>
      </w:r>
      <w:r>
        <w:rPr>
          <w:rFonts w:ascii="Times New Roman" w:hAnsi="Times New Roman"/>
          <w:sz w:val="24"/>
          <w:szCs w:val="24"/>
        </w:rPr>
        <w:t>traukti socialinius partnerius, užtikrinti aktyvesnį dėstytojų dalyvavimą</w:t>
      </w:r>
      <w:r w:rsidRPr="00CF75D3">
        <w:rPr>
          <w:rFonts w:ascii="Times New Roman" w:hAnsi="Times New Roman"/>
          <w:sz w:val="24"/>
          <w:szCs w:val="24"/>
        </w:rPr>
        <w:t xml:space="preserve"> tobulinant </w:t>
      </w:r>
      <w:r w:rsidR="00E3531E">
        <w:rPr>
          <w:rFonts w:ascii="Times New Roman" w:hAnsi="Times New Roman"/>
          <w:sz w:val="24"/>
          <w:szCs w:val="24"/>
        </w:rPr>
        <w:t xml:space="preserve">studijų programą ir jos dalykus bei </w:t>
      </w:r>
      <w:r w:rsidR="00E3531E" w:rsidRPr="00E3531E">
        <w:rPr>
          <w:rFonts w:ascii="Times New Roman" w:hAnsi="Times New Roman"/>
          <w:sz w:val="24"/>
          <w:szCs w:val="24"/>
        </w:rPr>
        <w:t>vykdyti nuolatinį studijų progr</w:t>
      </w:r>
      <w:r w:rsidR="00546E2F">
        <w:rPr>
          <w:rFonts w:ascii="Times New Roman" w:hAnsi="Times New Roman"/>
          <w:sz w:val="24"/>
          <w:szCs w:val="24"/>
        </w:rPr>
        <w:t>amos monitoringą ir atnaujinimą</w:t>
      </w:r>
      <w:r w:rsidR="00E3531E" w:rsidRPr="00E3531E">
        <w:rPr>
          <w:rFonts w:ascii="Times New Roman" w:hAnsi="Times New Roman"/>
          <w:sz w:val="24"/>
          <w:szCs w:val="24"/>
        </w:rPr>
        <w:t xml:space="preserve"> pagal studentų poreikius.</w:t>
      </w:r>
    </w:p>
    <w:p w:rsidR="00546E2F" w:rsidRDefault="00566398" w:rsidP="00546E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Rekomenduojama numatyti vieną d</w:t>
      </w:r>
      <w:r w:rsidR="00546E2F">
        <w:rPr>
          <w:rFonts w:ascii="Times New Roman" w:hAnsi="Times New Roman"/>
          <w:sz w:val="24"/>
          <w:szCs w:val="24"/>
        </w:rPr>
        <w:t xml:space="preserve">alyką I arba II metų studijose </w:t>
      </w:r>
      <w:r>
        <w:rPr>
          <w:rFonts w:ascii="Times New Roman" w:hAnsi="Times New Roman"/>
          <w:sz w:val="24"/>
          <w:szCs w:val="24"/>
        </w:rPr>
        <w:t xml:space="preserve">kaip įvadinį į </w:t>
      </w:r>
      <w:r w:rsidR="009C1846">
        <w:rPr>
          <w:rFonts w:ascii="Times New Roman" w:hAnsi="Times New Roman"/>
          <w:sz w:val="24"/>
          <w:szCs w:val="24"/>
        </w:rPr>
        <w:t>specialybės studijas</w:t>
      </w:r>
      <w:r>
        <w:rPr>
          <w:rFonts w:ascii="Times New Roman" w:hAnsi="Times New Roman"/>
          <w:sz w:val="24"/>
          <w:szCs w:val="24"/>
        </w:rPr>
        <w:t>, kad studentai suprastų, kokios jų įsidarbinimo i</w:t>
      </w:r>
      <w:r w:rsidR="00546E2F">
        <w:rPr>
          <w:rFonts w:ascii="Times New Roman" w:hAnsi="Times New Roman"/>
          <w:sz w:val="24"/>
          <w:szCs w:val="24"/>
        </w:rPr>
        <w:t>r tolimesnio darbo perspektyvos</w:t>
      </w:r>
      <w:r>
        <w:rPr>
          <w:rFonts w:ascii="Times New Roman" w:hAnsi="Times New Roman"/>
          <w:sz w:val="24"/>
          <w:szCs w:val="24"/>
        </w:rPr>
        <w:t xml:space="preserve"> arba galėtų pradėti ruoštis siauresnei specializ</w:t>
      </w:r>
      <w:r w:rsidR="00E3531E">
        <w:rPr>
          <w:rFonts w:ascii="Times New Roman" w:hAnsi="Times New Roman"/>
          <w:sz w:val="24"/>
          <w:szCs w:val="24"/>
        </w:rPr>
        <w:t xml:space="preserve">acijai. Tai galėtų būti padaryta </w:t>
      </w:r>
      <w:r>
        <w:rPr>
          <w:rFonts w:ascii="Times New Roman" w:hAnsi="Times New Roman"/>
          <w:sz w:val="24"/>
          <w:szCs w:val="24"/>
        </w:rPr>
        <w:t xml:space="preserve">pažintinės praktikos metu, arba panaudojant vieną iš laisvų pasirinkimų. </w:t>
      </w:r>
      <w:bookmarkStart w:id="1" w:name="_Toc372892484"/>
    </w:p>
    <w:p w:rsidR="00546E2F" w:rsidRDefault="00546E2F" w:rsidP="00546E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6E2F" w:rsidRPr="00546E2F" w:rsidRDefault="00546E2F" w:rsidP="00546E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6E2F" w:rsidRPr="00546E2F" w:rsidRDefault="009B2BE6" w:rsidP="00546E2F">
      <w:pPr>
        <w:pStyle w:val="Antrat1"/>
        <w:spacing w:line="360" w:lineRule="auto"/>
        <w:jc w:val="left"/>
        <w:rPr>
          <w:b/>
          <w:sz w:val="24"/>
        </w:rPr>
      </w:pPr>
      <w:r w:rsidRPr="00753C6D">
        <w:rPr>
          <w:b/>
          <w:sz w:val="24"/>
        </w:rPr>
        <w:lastRenderedPageBreak/>
        <w:t>APIBENDRINAMASIS VERTINIMAS</w:t>
      </w:r>
      <w:bookmarkEnd w:id="1"/>
    </w:p>
    <w:p w:rsidR="009B2BE6" w:rsidRPr="005919B1" w:rsidRDefault="009B2BE6" w:rsidP="009B2BE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919B1">
        <w:rPr>
          <w:rFonts w:ascii="Times New Roman" w:hAnsi="Times New Roman"/>
          <w:color w:val="000000"/>
          <w:sz w:val="24"/>
          <w:szCs w:val="24"/>
        </w:rPr>
        <w:t xml:space="preserve">Aleksandro Stulginskio universiteto ketinama vykdyti studijų programa </w:t>
      </w:r>
      <w:r w:rsidRPr="005919B1">
        <w:rPr>
          <w:rFonts w:ascii="Times New Roman" w:hAnsi="Times New Roman"/>
          <w:i/>
          <w:color w:val="000000"/>
          <w:sz w:val="24"/>
          <w:szCs w:val="24"/>
        </w:rPr>
        <w:t>Vandens išteklių inžinerija</w:t>
      </w:r>
      <w:r w:rsidRPr="005919B1">
        <w:rPr>
          <w:rFonts w:ascii="Times New Roman" w:hAnsi="Times New Roman"/>
          <w:color w:val="000000"/>
          <w:sz w:val="24"/>
          <w:szCs w:val="24"/>
        </w:rPr>
        <w:t xml:space="preserve"> vertinama teigiamai.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908"/>
        <w:gridCol w:w="2127"/>
      </w:tblGrid>
      <w:tr w:rsidR="009B2BE6" w:rsidRPr="005919B1" w:rsidTr="00CF75D3">
        <w:trPr>
          <w:jc w:val="center"/>
        </w:trPr>
        <w:tc>
          <w:tcPr>
            <w:tcW w:w="870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Eil.Nr.</w:t>
            </w:r>
          </w:p>
        </w:tc>
        <w:tc>
          <w:tcPr>
            <w:tcW w:w="4908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Vertinimo sritis</w:t>
            </w:r>
          </w:p>
        </w:tc>
        <w:tc>
          <w:tcPr>
            <w:tcW w:w="2127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Srities įvertinimas, balai</w:t>
            </w:r>
          </w:p>
        </w:tc>
      </w:tr>
      <w:tr w:rsidR="009B2BE6" w:rsidRPr="005919B1" w:rsidTr="00CF75D3">
        <w:trPr>
          <w:jc w:val="center"/>
        </w:trPr>
        <w:tc>
          <w:tcPr>
            <w:tcW w:w="870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8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Programos tikslai ir numatomi studijų rezultatai</w:t>
            </w:r>
          </w:p>
        </w:tc>
        <w:tc>
          <w:tcPr>
            <w:tcW w:w="2127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B2BE6" w:rsidRPr="005919B1" w:rsidTr="00CF75D3">
        <w:trPr>
          <w:jc w:val="center"/>
        </w:trPr>
        <w:tc>
          <w:tcPr>
            <w:tcW w:w="870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8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Programos sandara</w:t>
            </w:r>
          </w:p>
        </w:tc>
        <w:tc>
          <w:tcPr>
            <w:tcW w:w="2127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B2BE6" w:rsidRPr="005919B1" w:rsidTr="00CF75D3">
        <w:trPr>
          <w:jc w:val="center"/>
        </w:trPr>
        <w:tc>
          <w:tcPr>
            <w:tcW w:w="870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8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Personalas</w:t>
            </w:r>
          </w:p>
        </w:tc>
        <w:tc>
          <w:tcPr>
            <w:tcW w:w="2127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B2BE6" w:rsidRPr="005919B1" w:rsidTr="00CF75D3">
        <w:trPr>
          <w:jc w:val="center"/>
        </w:trPr>
        <w:tc>
          <w:tcPr>
            <w:tcW w:w="870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8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Materialieji ištekliai</w:t>
            </w:r>
          </w:p>
        </w:tc>
        <w:tc>
          <w:tcPr>
            <w:tcW w:w="2127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B2BE6" w:rsidRPr="005919B1" w:rsidTr="00CF75D3">
        <w:trPr>
          <w:jc w:val="center"/>
        </w:trPr>
        <w:tc>
          <w:tcPr>
            <w:tcW w:w="870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8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Studijų eiga ir jos vertinimas</w:t>
            </w:r>
          </w:p>
        </w:tc>
        <w:tc>
          <w:tcPr>
            <w:tcW w:w="2127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B2BE6" w:rsidRPr="005919B1" w:rsidTr="00CF75D3">
        <w:trPr>
          <w:jc w:val="center"/>
        </w:trPr>
        <w:tc>
          <w:tcPr>
            <w:tcW w:w="870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8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Programos vadyba</w:t>
            </w:r>
          </w:p>
        </w:tc>
        <w:tc>
          <w:tcPr>
            <w:tcW w:w="2127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B2BE6" w:rsidRPr="005919B1" w:rsidTr="00CF75D3">
        <w:trPr>
          <w:jc w:val="center"/>
        </w:trPr>
        <w:tc>
          <w:tcPr>
            <w:tcW w:w="870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:rsidR="009B2BE6" w:rsidRPr="005919B1" w:rsidRDefault="009B2BE6" w:rsidP="00861F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9B1">
              <w:rPr>
                <w:rFonts w:ascii="Times New Roman" w:hAnsi="Times New Roman"/>
                <w:color w:val="000000"/>
                <w:sz w:val="24"/>
                <w:szCs w:val="24"/>
              </w:rPr>
              <w:t>Iš viso:</w:t>
            </w:r>
          </w:p>
        </w:tc>
        <w:tc>
          <w:tcPr>
            <w:tcW w:w="2127" w:type="dxa"/>
            <w:shd w:val="clear" w:color="auto" w:fill="auto"/>
          </w:tcPr>
          <w:p w:rsidR="009B2BE6" w:rsidRPr="005919B1" w:rsidRDefault="00EF1D3B" w:rsidP="0086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9B2BE6" w:rsidRPr="00FA078A" w:rsidRDefault="009B2BE6" w:rsidP="009B2BE6">
      <w:pPr>
        <w:numPr>
          <w:ilvl w:val="1"/>
          <w:numId w:val="2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hanging="1260"/>
        <w:rPr>
          <w:rFonts w:ascii="Times New Roman" w:hAnsi="Times New Roman"/>
          <w:sz w:val="20"/>
          <w:szCs w:val="20"/>
        </w:rPr>
      </w:pPr>
      <w:r w:rsidRPr="00FA078A">
        <w:rPr>
          <w:rFonts w:ascii="Times New Roman" w:hAnsi="Times New Roman"/>
          <w:sz w:val="20"/>
          <w:szCs w:val="20"/>
        </w:rPr>
        <w:t>Nepatenkinamai (yra esminių trūkumų, kuriuos būtina pašalinti)</w:t>
      </w:r>
    </w:p>
    <w:p w:rsidR="009B2BE6" w:rsidRPr="00FA078A" w:rsidRDefault="009B2BE6" w:rsidP="009B2BE6">
      <w:pPr>
        <w:numPr>
          <w:ilvl w:val="1"/>
          <w:numId w:val="2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hanging="1260"/>
        <w:rPr>
          <w:rFonts w:ascii="Times New Roman" w:hAnsi="Times New Roman"/>
          <w:sz w:val="20"/>
          <w:szCs w:val="20"/>
        </w:rPr>
      </w:pPr>
      <w:r w:rsidRPr="00FA078A">
        <w:rPr>
          <w:rFonts w:ascii="Times New Roman" w:hAnsi="Times New Roman"/>
          <w:sz w:val="20"/>
          <w:szCs w:val="20"/>
        </w:rPr>
        <w:t>Patenkinamai (tenkina minimalius reikalavimus, reikia tobulinti)</w:t>
      </w:r>
    </w:p>
    <w:p w:rsidR="009B2BE6" w:rsidRPr="00FA078A" w:rsidRDefault="009B2BE6" w:rsidP="009B2BE6">
      <w:pPr>
        <w:numPr>
          <w:ilvl w:val="1"/>
          <w:numId w:val="2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hanging="1260"/>
        <w:rPr>
          <w:rFonts w:ascii="Times New Roman" w:hAnsi="Times New Roman"/>
          <w:sz w:val="20"/>
          <w:szCs w:val="20"/>
        </w:rPr>
      </w:pPr>
      <w:r w:rsidRPr="00FA078A">
        <w:rPr>
          <w:rFonts w:ascii="Times New Roman" w:hAnsi="Times New Roman"/>
          <w:sz w:val="20"/>
          <w:szCs w:val="20"/>
        </w:rPr>
        <w:t>Gerai (sistemiškai plėtojama sritis, turi savitų bruožų)</w:t>
      </w:r>
    </w:p>
    <w:p w:rsidR="009B2BE6" w:rsidRPr="00FA078A" w:rsidRDefault="009B2BE6" w:rsidP="009B2BE6">
      <w:pPr>
        <w:numPr>
          <w:ilvl w:val="1"/>
          <w:numId w:val="2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hanging="1260"/>
        <w:rPr>
          <w:rFonts w:ascii="Times New Roman" w:hAnsi="Times New Roman"/>
          <w:sz w:val="20"/>
          <w:szCs w:val="20"/>
        </w:rPr>
      </w:pPr>
      <w:r w:rsidRPr="00FA078A">
        <w:rPr>
          <w:rFonts w:ascii="Times New Roman" w:hAnsi="Times New Roman"/>
          <w:sz w:val="20"/>
          <w:szCs w:val="20"/>
        </w:rPr>
        <w:t>Labai gerai (sritis yra išskirtinė)</w:t>
      </w:r>
    </w:p>
    <w:p w:rsidR="009B2BE6" w:rsidRPr="005919B1" w:rsidRDefault="009B2BE6" w:rsidP="00CF75D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068"/>
      </w:tblGrid>
      <w:tr w:rsidR="009B2BE6" w:rsidRPr="00931D6D" w:rsidTr="00861FF6">
        <w:tc>
          <w:tcPr>
            <w:tcW w:w="5068" w:type="dxa"/>
            <w:shd w:val="clear" w:color="auto" w:fill="auto"/>
          </w:tcPr>
          <w:p w:rsidR="009B2BE6" w:rsidRPr="00931D6D" w:rsidRDefault="009B2BE6" w:rsidP="00861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D6D">
              <w:rPr>
                <w:rFonts w:ascii="Times New Roman" w:hAnsi="Times New Roman"/>
              </w:rPr>
              <w:t>Grupės vadovas: doc. dr. Mindaugas Rimeika</w:t>
            </w:r>
          </w:p>
        </w:tc>
      </w:tr>
      <w:tr w:rsidR="009B2BE6" w:rsidRPr="00931D6D" w:rsidTr="00861FF6">
        <w:tc>
          <w:tcPr>
            <w:tcW w:w="5068" w:type="dxa"/>
            <w:shd w:val="clear" w:color="auto" w:fill="auto"/>
          </w:tcPr>
          <w:p w:rsidR="009B2BE6" w:rsidRPr="00931D6D" w:rsidRDefault="009B2BE6" w:rsidP="00861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D6D">
              <w:rPr>
                <w:rFonts w:ascii="Times New Roman" w:hAnsi="Times New Roman"/>
              </w:rPr>
              <w:t>Grupės narys: prof. habil. dr. Kęstutis Kilkus</w:t>
            </w:r>
          </w:p>
        </w:tc>
      </w:tr>
    </w:tbl>
    <w:p w:rsidR="00F96722" w:rsidRPr="00A51CE0" w:rsidRDefault="00F96722" w:rsidP="00857F01">
      <w:pPr>
        <w:jc w:val="both"/>
        <w:rPr>
          <w:rFonts w:ascii="Times New Roman" w:hAnsi="Times New Roman"/>
          <w:sz w:val="24"/>
          <w:szCs w:val="24"/>
        </w:rPr>
      </w:pPr>
    </w:p>
    <w:sectPr w:rsidR="00F96722" w:rsidRPr="00A51CE0" w:rsidSect="009F6B0B"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2F" w:rsidRDefault="00546E2F" w:rsidP="00546E2F">
      <w:pPr>
        <w:spacing w:after="0" w:line="240" w:lineRule="auto"/>
      </w:pPr>
      <w:r>
        <w:separator/>
      </w:r>
    </w:p>
  </w:endnote>
  <w:endnote w:type="continuationSeparator" w:id="0">
    <w:p w:rsidR="00546E2F" w:rsidRDefault="00546E2F" w:rsidP="0054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57104"/>
      <w:docPartObj>
        <w:docPartGallery w:val="Page Numbers (Bottom of Page)"/>
        <w:docPartUnique/>
      </w:docPartObj>
    </w:sdtPr>
    <w:sdtEndPr/>
    <w:sdtContent>
      <w:p w:rsidR="00546E2F" w:rsidRDefault="00546E2F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395">
          <w:rPr>
            <w:noProof/>
          </w:rPr>
          <w:t>2</w:t>
        </w:r>
        <w:r>
          <w:fldChar w:fldCharType="end"/>
        </w:r>
      </w:p>
    </w:sdtContent>
  </w:sdt>
  <w:p w:rsidR="00546E2F" w:rsidRDefault="00546E2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2F" w:rsidRDefault="00546E2F" w:rsidP="00546E2F">
      <w:pPr>
        <w:spacing w:after="0" w:line="240" w:lineRule="auto"/>
      </w:pPr>
      <w:r>
        <w:separator/>
      </w:r>
    </w:p>
  </w:footnote>
  <w:footnote w:type="continuationSeparator" w:id="0">
    <w:p w:rsidR="00546E2F" w:rsidRDefault="00546E2F" w:rsidP="00546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2CC0"/>
    <w:multiLevelType w:val="hybridMultilevel"/>
    <w:tmpl w:val="ECD67898"/>
    <w:lvl w:ilvl="0" w:tplc="52C607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3631E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D3C6C"/>
    <w:multiLevelType w:val="hybridMultilevel"/>
    <w:tmpl w:val="A90CE3C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30"/>
    <w:rsid w:val="000521F8"/>
    <w:rsid w:val="0014378C"/>
    <w:rsid w:val="00174BB0"/>
    <w:rsid w:val="001C459B"/>
    <w:rsid w:val="002205A4"/>
    <w:rsid w:val="00255EA7"/>
    <w:rsid w:val="002C6CDD"/>
    <w:rsid w:val="00513699"/>
    <w:rsid w:val="00546E2F"/>
    <w:rsid w:val="00566398"/>
    <w:rsid w:val="00567BDE"/>
    <w:rsid w:val="005C2052"/>
    <w:rsid w:val="00841730"/>
    <w:rsid w:val="00857F01"/>
    <w:rsid w:val="00896FA3"/>
    <w:rsid w:val="008D7395"/>
    <w:rsid w:val="00912CF6"/>
    <w:rsid w:val="0098476E"/>
    <w:rsid w:val="0098709F"/>
    <w:rsid w:val="009B2BE6"/>
    <w:rsid w:val="009C1846"/>
    <w:rsid w:val="009F6B0B"/>
    <w:rsid w:val="00A51CE0"/>
    <w:rsid w:val="00A60A40"/>
    <w:rsid w:val="00C2029D"/>
    <w:rsid w:val="00C83BAB"/>
    <w:rsid w:val="00CF75D3"/>
    <w:rsid w:val="00E02903"/>
    <w:rsid w:val="00E30991"/>
    <w:rsid w:val="00E3531E"/>
    <w:rsid w:val="00E4113A"/>
    <w:rsid w:val="00EF1D3B"/>
    <w:rsid w:val="00F84B58"/>
    <w:rsid w:val="00F96722"/>
    <w:rsid w:val="00F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F6B0B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locked/>
    <w:rsid w:val="009B2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FB3FD5"/>
    <w:pPr>
      <w:ind w:left="720"/>
      <w:contextualSpacing/>
    </w:pPr>
  </w:style>
  <w:style w:type="character" w:styleId="Komentaronuoroda">
    <w:name w:val="annotation reference"/>
    <w:uiPriority w:val="99"/>
    <w:semiHidden/>
    <w:rsid w:val="00174BB0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174BB0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1736DA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174BB0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1736DA"/>
    <w:rPr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174BB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736DA"/>
    <w:rPr>
      <w:rFonts w:ascii="Times New Roman" w:hAnsi="Times New Roman"/>
      <w:sz w:val="0"/>
      <w:szCs w:val="0"/>
      <w:lang w:val="lt-LT"/>
    </w:rPr>
  </w:style>
  <w:style w:type="character" w:customStyle="1" w:styleId="Antrat1Diagrama">
    <w:name w:val="Antraštė 1 Diagrama"/>
    <w:link w:val="Antrat1"/>
    <w:rsid w:val="009B2BE6"/>
    <w:rPr>
      <w:rFonts w:ascii="Times New Roman" w:eastAsia="Times New Roman" w:hAnsi="Times New Roman"/>
      <w:sz w:val="40"/>
      <w:szCs w:val="24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546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46E2F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546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46E2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F6B0B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locked/>
    <w:rsid w:val="009B2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FB3FD5"/>
    <w:pPr>
      <w:ind w:left="720"/>
      <w:contextualSpacing/>
    </w:pPr>
  </w:style>
  <w:style w:type="character" w:styleId="Komentaronuoroda">
    <w:name w:val="annotation reference"/>
    <w:uiPriority w:val="99"/>
    <w:semiHidden/>
    <w:rsid w:val="00174BB0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174BB0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1736DA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174BB0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1736DA"/>
    <w:rPr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174BB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736DA"/>
    <w:rPr>
      <w:rFonts w:ascii="Times New Roman" w:hAnsi="Times New Roman"/>
      <w:sz w:val="0"/>
      <w:szCs w:val="0"/>
      <w:lang w:val="lt-LT"/>
    </w:rPr>
  </w:style>
  <w:style w:type="character" w:customStyle="1" w:styleId="Antrat1Diagrama">
    <w:name w:val="Antraštė 1 Diagrama"/>
    <w:link w:val="Antrat1"/>
    <w:rsid w:val="009B2BE6"/>
    <w:rPr>
      <w:rFonts w:ascii="Times New Roman" w:eastAsia="Times New Roman" w:hAnsi="Times New Roman"/>
      <w:sz w:val="40"/>
      <w:szCs w:val="24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546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46E2F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546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46E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11AA-C4CF-420F-9789-14EB2832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Kęstutis</dc:creator>
  <cp:lastModifiedBy>Ieva Batėnaitė</cp:lastModifiedBy>
  <cp:revision>2</cp:revision>
  <dcterms:created xsi:type="dcterms:W3CDTF">2017-10-27T06:46:00Z</dcterms:created>
  <dcterms:modified xsi:type="dcterms:W3CDTF">2017-10-27T06:46:00Z</dcterms:modified>
</cp:coreProperties>
</file>